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1E877" w14:textId="1B621402" w:rsidR="00BE59C5" w:rsidRDefault="00660452" w:rsidP="00054C38">
      <w:pPr>
        <w:rPr>
          <w:rFonts w:ascii="Times New Roman" w:hAnsi="Times New Roman" w:cs="Times New Roman (Body CS)"/>
          <w:color w:val="FF0000"/>
          <w:sz w:val="32"/>
          <w:szCs w:val="32"/>
        </w:rPr>
      </w:pPr>
      <w:r>
        <w:rPr>
          <w:rFonts w:ascii="Times New Roman" w:hAnsi="Times New Roman" w:cs="Times New Roman (Body CS)"/>
          <w:color w:val="FF0000"/>
          <w:sz w:val="32"/>
          <w:szCs w:val="32"/>
        </w:rPr>
        <w:t>R</w:t>
      </w:r>
      <w:r w:rsidR="00BE59C5">
        <w:rPr>
          <w:rFonts w:ascii="Times New Roman" w:hAnsi="Times New Roman" w:cs="Times New Roman (Body CS)"/>
          <w:color w:val="FF0000"/>
          <w:sz w:val="32"/>
          <w:szCs w:val="32"/>
        </w:rPr>
        <w:t>e</w:t>
      </w:r>
      <w:r>
        <w:rPr>
          <w:rFonts w:ascii="Times New Roman" w:hAnsi="Times New Roman" w:cs="Times New Roman (Body CS)"/>
          <w:color w:val="FF0000"/>
          <w:sz w:val="32"/>
          <w:szCs w:val="32"/>
        </w:rPr>
        <w:t xml:space="preserve">. CORPORATIONS NAMED ON GRANTS </w:t>
      </w:r>
      <w:r w:rsidR="00BE59C5">
        <w:rPr>
          <w:rFonts w:ascii="Times New Roman" w:hAnsi="Times New Roman" w:cs="Times New Roman (Body CS)"/>
          <w:color w:val="FF0000"/>
          <w:sz w:val="32"/>
          <w:szCs w:val="32"/>
        </w:rPr>
        <w:t xml:space="preserve">SAB </w:t>
      </w:r>
      <w:r>
        <w:rPr>
          <w:rFonts w:ascii="Times New Roman" w:hAnsi="Times New Roman" w:cs="Times New Roman (Body CS)"/>
          <w:color w:val="FF0000"/>
          <w:sz w:val="32"/>
          <w:szCs w:val="32"/>
        </w:rPr>
        <w:t>agenda item</w:t>
      </w:r>
      <w:r w:rsidR="00BE59C5">
        <w:rPr>
          <w:rFonts w:ascii="Times New Roman" w:hAnsi="Times New Roman" w:cs="Times New Roman (Body CS)"/>
          <w:color w:val="FF0000"/>
          <w:sz w:val="32"/>
          <w:szCs w:val="32"/>
        </w:rPr>
        <w:t>.</w:t>
      </w:r>
    </w:p>
    <w:p w14:paraId="1CA64FBE" w14:textId="2B7A1444" w:rsidR="00BE59C5" w:rsidRDefault="00BE59C5" w:rsidP="00054C38">
      <w:pPr>
        <w:rPr>
          <w:rFonts w:ascii="Times New Roman" w:hAnsi="Times New Roman" w:cs="Times New Roman (Body CS)"/>
          <w:color w:val="FF0000"/>
          <w:sz w:val="32"/>
          <w:szCs w:val="32"/>
        </w:rPr>
      </w:pPr>
      <w:r>
        <w:rPr>
          <w:rFonts w:ascii="Times New Roman" w:hAnsi="Times New Roman" w:cs="Times New Roman (Body CS)"/>
          <w:color w:val="FF0000"/>
          <w:sz w:val="32"/>
          <w:szCs w:val="32"/>
        </w:rPr>
        <w:t>For Wednesday, 4/26/23 SAB meeting.</w:t>
      </w:r>
    </w:p>
    <w:p w14:paraId="7181A3BC" w14:textId="77777777" w:rsidR="00BE59C5" w:rsidRDefault="00BE59C5" w:rsidP="00054C38">
      <w:pPr>
        <w:rPr>
          <w:rFonts w:ascii="Times New Roman" w:hAnsi="Times New Roman" w:cs="Times New Roman (Body CS)"/>
          <w:color w:val="FF0000"/>
          <w:sz w:val="32"/>
          <w:szCs w:val="32"/>
        </w:rPr>
      </w:pPr>
    </w:p>
    <w:p w14:paraId="1A7A270E" w14:textId="157359D6" w:rsidR="007B72A9" w:rsidRDefault="00660452" w:rsidP="00054C38">
      <w:pPr>
        <w:rPr>
          <w:rFonts w:ascii="Times New Roman" w:hAnsi="Times New Roman" w:cs="Times New Roman (Body CS)"/>
          <w:color w:val="FF0000"/>
          <w:sz w:val="32"/>
          <w:szCs w:val="32"/>
        </w:rPr>
      </w:pPr>
      <w:r>
        <w:rPr>
          <w:rFonts w:ascii="Times New Roman" w:hAnsi="Times New Roman" w:cs="Times New Roman (Body CS)"/>
          <w:color w:val="FF0000"/>
          <w:sz w:val="32"/>
          <w:szCs w:val="32"/>
        </w:rPr>
        <w:t>4/18</w:t>
      </w:r>
      <w:r w:rsidR="007B72A9" w:rsidRPr="008E4E6B">
        <w:rPr>
          <w:rFonts w:ascii="Times New Roman" w:hAnsi="Times New Roman" w:cs="Times New Roman (Body CS)"/>
          <w:color w:val="FF0000"/>
          <w:sz w:val="32"/>
          <w:szCs w:val="32"/>
        </w:rPr>
        <w:t xml:space="preserve">/23 </w:t>
      </w:r>
      <w:r w:rsidR="006F2B3A" w:rsidRPr="008E4E6B">
        <w:rPr>
          <w:rFonts w:ascii="Times New Roman" w:hAnsi="Times New Roman" w:cs="Times New Roman (Body CS)"/>
          <w:color w:val="FF0000"/>
          <w:sz w:val="32"/>
          <w:szCs w:val="32"/>
        </w:rPr>
        <w:t xml:space="preserve">DRAFT </w:t>
      </w:r>
      <w:r w:rsidR="007B72A9" w:rsidRPr="008E4E6B">
        <w:rPr>
          <w:rFonts w:ascii="Times New Roman" w:hAnsi="Times New Roman" w:cs="Times New Roman (Body CS)"/>
          <w:color w:val="FF0000"/>
          <w:sz w:val="32"/>
          <w:szCs w:val="32"/>
        </w:rPr>
        <w:t>AMENDMENTS</w:t>
      </w:r>
    </w:p>
    <w:p w14:paraId="57120984" w14:textId="77777777" w:rsidR="008E4E6B" w:rsidRPr="008E4E6B" w:rsidRDefault="008E4E6B" w:rsidP="00054C38">
      <w:pPr>
        <w:rPr>
          <w:rFonts w:ascii="Times New Roman" w:hAnsi="Times New Roman" w:cs="Times New Roman (Body CS)"/>
          <w:color w:val="FF0000"/>
          <w:sz w:val="32"/>
          <w:szCs w:val="32"/>
        </w:rPr>
      </w:pPr>
    </w:p>
    <w:p w14:paraId="770AA6D3" w14:textId="5B4C28CD" w:rsidR="007B72A9" w:rsidRDefault="007B72A9" w:rsidP="00054C38">
      <w:pPr>
        <w:rPr>
          <w:rFonts w:ascii="Times New Roman" w:hAnsi="Times New Roman" w:cs="Times New Roman (Body CS)"/>
          <w:sz w:val="32"/>
          <w:szCs w:val="32"/>
        </w:rPr>
      </w:pPr>
      <w:r>
        <w:rPr>
          <w:rFonts w:ascii="Times New Roman" w:hAnsi="Times New Roman" w:cs="Times New Roman (Body CS)"/>
          <w:sz w:val="32"/>
          <w:szCs w:val="32"/>
          <w:u w:val="single"/>
        </w:rPr>
        <w:t>§7.8.2 Domicile Requirement and Exception,</w:t>
      </w:r>
      <w:r w:rsidR="006F2B3A" w:rsidRPr="006F2B3A">
        <w:rPr>
          <w:rFonts w:ascii="Times New Roman" w:hAnsi="Times New Roman" w:cs="Times New Roman (Body CS)"/>
          <w:sz w:val="32"/>
          <w:szCs w:val="32"/>
        </w:rPr>
        <w:t xml:space="preserve"> </w:t>
      </w:r>
    </w:p>
    <w:p w14:paraId="461232B4" w14:textId="2458A36E" w:rsidR="007B72A9" w:rsidRDefault="006F2B3A" w:rsidP="00054C38">
      <w:pPr>
        <w:rPr>
          <w:rFonts w:ascii="Times New Roman" w:hAnsi="Times New Roman" w:cs="Times New Roman (Body CS)"/>
          <w:sz w:val="32"/>
          <w:szCs w:val="32"/>
        </w:rPr>
      </w:pPr>
      <w:r>
        <w:rPr>
          <w:rFonts w:ascii="Times New Roman" w:hAnsi="Times New Roman" w:cs="Times New Roman (Body CS)"/>
          <w:sz w:val="32"/>
          <w:szCs w:val="32"/>
        </w:rPr>
        <w:t>§</w:t>
      </w:r>
      <w:r>
        <w:rPr>
          <w:rFonts w:ascii="Times New Roman" w:hAnsi="Times New Roman" w:cs="Times New Roman (Body CS)"/>
          <w:sz w:val="32"/>
          <w:szCs w:val="32"/>
          <w:u w:val="single"/>
        </w:rPr>
        <w:t>7.8.4 Limit on Indiv</w:t>
      </w:r>
      <w:r w:rsidR="008E4E6B">
        <w:rPr>
          <w:rFonts w:ascii="Times New Roman" w:hAnsi="Times New Roman" w:cs="Times New Roman (Body CS)"/>
          <w:sz w:val="32"/>
          <w:szCs w:val="32"/>
          <w:u w:val="single"/>
        </w:rPr>
        <w:t>id</w:t>
      </w:r>
      <w:r>
        <w:rPr>
          <w:rFonts w:ascii="Times New Roman" w:hAnsi="Times New Roman" w:cs="Times New Roman (Body CS)"/>
          <w:sz w:val="32"/>
          <w:szCs w:val="32"/>
          <w:u w:val="single"/>
        </w:rPr>
        <w:t xml:space="preserve">uals Licensed to Use a </w:t>
      </w:r>
      <w:r w:rsidRPr="006F2B3A">
        <w:rPr>
          <w:rFonts w:ascii="Times New Roman" w:hAnsi="Times New Roman" w:cs="Times New Roman (Body CS)"/>
          <w:sz w:val="32"/>
          <w:szCs w:val="32"/>
        </w:rPr>
        <w:t>Grant</w:t>
      </w:r>
      <w:r>
        <w:rPr>
          <w:rFonts w:ascii="Times New Roman" w:hAnsi="Times New Roman" w:cs="Times New Roman (Body CS)"/>
          <w:sz w:val="32"/>
          <w:szCs w:val="32"/>
        </w:rPr>
        <w:t xml:space="preserve">, </w:t>
      </w:r>
    </w:p>
    <w:p w14:paraId="297FB793" w14:textId="3232A0B6" w:rsidR="00054C38" w:rsidRDefault="006F2B3A" w:rsidP="00054C38">
      <w:pPr>
        <w:rPr>
          <w:rFonts w:ascii="Times New Roman" w:hAnsi="Times New Roman" w:cs="Times New Roman (Body CS)"/>
          <w:sz w:val="32"/>
          <w:szCs w:val="32"/>
          <w:u w:val="single"/>
        </w:rPr>
      </w:pPr>
      <w:r w:rsidRPr="006F2B3A">
        <w:rPr>
          <w:rFonts w:ascii="Times New Roman" w:hAnsi="Times New Roman" w:cs="Times New Roman (Body CS)"/>
          <w:sz w:val="32"/>
          <w:szCs w:val="32"/>
        </w:rPr>
        <w:t>7</w:t>
      </w:r>
      <w:r>
        <w:rPr>
          <w:rFonts w:ascii="Times New Roman" w:hAnsi="Times New Roman" w:cs="Times New Roman (Body CS)"/>
          <w:sz w:val="32"/>
          <w:szCs w:val="32"/>
        </w:rPr>
        <w:t xml:space="preserve">.8.6 </w:t>
      </w:r>
      <w:r w:rsidRPr="006F2B3A">
        <w:rPr>
          <w:rFonts w:ascii="Times New Roman" w:hAnsi="Times New Roman" w:cs="Times New Roman (Body CS)"/>
          <w:sz w:val="32"/>
          <w:szCs w:val="32"/>
          <w:u w:val="single"/>
        </w:rPr>
        <w:t>Limit on Size of Grant</w:t>
      </w:r>
    </w:p>
    <w:p w14:paraId="0A8F9EF6" w14:textId="77777777" w:rsidR="00054C38" w:rsidRPr="007B72A9" w:rsidRDefault="00054C38" w:rsidP="00054C38">
      <w:pPr>
        <w:rPr>
          <w:rFonts w:ascii="Times New Roman" w:hAnsi="Times New Roman" w:cs="Times New Roman (Body CS)"/>
          <w:sz w:val="32"/>
          <w:szCs w:val="32"/>
        </w:rPr>
      </w:pPr>
    </w:p>
    <w:p w14:paraId="4577EB04" w14:textId="77777777" w:rsidR="007B72A9" w:rsidRDefault="007B72A9" w:rsidP="007B72A9">
      <w:pPr>
        <w:pStyle w:val="NormalWeb"/>
        <w:rPr>
          <w:rFonts w:ascii="Times" w:hAnsi="Times"/>
          <w:sz w:val="32"/>
          <w:szCs w:val="32"/>
          <w:u w:val="single"/>
        </w:rPr>
      </w:pPr>
      <w:r w:rsidRPr="007B72A9">
        <w:rPr>
          <w:rFonts w:cs="Times New Roman (Body CS)"/>
          <w:sz w:val="32"/>
          <w:szCs w:val="32"/>
        </w:rPr>
        <w:t>DRAFT §7.8.2</w:t>
      </w:r>
      <w:r>
        <w:rPr>
          <w:rFonts w:cs="Times New Roman (Body CS)"/>
          <w:sz w:val="32"/>
          <w:szCs w:val="32"/>
          <w:u w:val="single"/>
        </w:rPr>
        <w:t xml:space="preserve"> </w:t>
      </w:r>
      <w:r w:rsidRPr="007B72A9">
        <w:rPr>
          <w:rFonts w:ascii="Times" w:hAnsi="Times"/>
          <w:sz w:val="32"/>
          <w:szCs w:val="32"/>
          <w:u w:val="single"/>
        </w:rPr>
        <w:t>Domicile Requirement and Exception</w:t>
      </w:r>
    </w:p>
    <w:p w14:paraId="26C84231" w14:textId="0EF06079" w:rsidR="007B72A9" w:rsidRPr="007B72A9" w:rsidRDefault="007B72A9" w:rsidP="007B72A9">
      <w:pPr>
        <w:pStyle w:val="NormalWeb"/>
        <w:rPr>
          <w:sz w:val="32"/>
          <w:szCs w:val="32"/>
        </w:rPr>
      </w:pPr>
      <w:r w:rsidRPr="007B72A9">
        <w:rPr>
          <w:rFonts w:ascii="Times" w:hAnsi="Times"/>
          <w:b/>
          <w:bCs/>
          <w:color w:val="FF0000"/>
          <w:sz w:val="32"/>
          <w:szCs w:val="32"/>
        </w:rPr>
        <w:br/>
      </w:r>
      <w:r w:rsidRPr="00660452">
        <w:rPr>
          <w:rFonts w:ascii="Times" w:hAnsi="Times"/>
          <w:b/>
          <w:bCs/>
          <w:color w:val="000000" w:themeColor="text1"/>
          <w:sz w:val="32"/>
          <w:szCs w:val="32"/>
        </w:rPr>
        <w:t>§7.8.2 (a)</w:t>
      </w:r>
      <w:r w:rsidRPr="00660452">
        <w:rPr>
          <w:rFonts w:ascii="Times" w:hAnsi="Times"/>
          <w:color w:val="000000" w:themeColor="text1"/>
          <w:sz w:val="32"/>
          <w:szCs w:val="32"/>
        </w:rPr>
        <w:t xml:space="preserve"> </w:t>
      </w:r>
      <w:r w:rsidRPr="007B72A9">
        <w:rPr>
          <w:rFonts w:ascii="Times" w:hAnsi="Times"/>
          <w:sz w:val="32"/>
          <w:szCs w:val="32"/>
        </w:rPr>
        <w:t>At such time as a licensee ceases to be a domiciled resident of the Town</w:t>
      </w:r>
      <w:r>
        <w:rPr>
          <w:rFonts w:ascii="Times" w:hAnsi="Times"/>
          <w:sz w:val="32"/>
          <w:szCs w:val="32"/>
        </w:rPr>
        <w:t xml:space="preserve"> </w:t>
      </w:r>
      <w:r>
        <w:rPr>
          <w:rFonts w:ascii="Times" w:hAnsi="Times"/>
          <w:b/>
          <w:bCs/>
          <w:sz w:val="32"/>
          <w:szCs w:val="32"/>
        </w:rPr>
        <w:t xml:space="preserve">as defined in §1 of Wellfleet’s </w:t>
      </w:r>
      <w:proofErr w:type="spellStart"/>
      <w:r>
        <w:rPr>
          <w:rFonts w:ascii="Times" w:hAnsi="Times"/>
          <w:b/>
          <w:bCs/>
          <w:sz w:val="32"/>
          <w:szCs w:val="32"/>
        </w:rPr>
        <w:t>Shellfishing</w:t>
      </w:r>
      <w:proofErr w:type="spellEnd"/>
      <w:r>
        <w:rPr>
          <w:rFonts w:ascii="Times" w:hAnsi="Times"/>
          <w:b/>
          <w:bCs/>
          <w:sz w:val="32"/>
          <w:szCs w:val="32"/>
        </w:rPr>
        <w:t xml:space="preserve"> Policy and Regulations</w:t>
      </w:r>
      <w:r w:rsidRPr="007B72A9">
        <w:rPr>
          <w:rFonts w:ascii="Times" w:hAnsi="Times"/>
          <w:sz w:val="32"/>
          <w:szCs w:val="32"/>
        </w:rPr>
        <w:t xml:space="preserve">, that individual shall be removed from the license, except in the event of loss of housing for reasons clearly beyond their control (such as a fire or a lease not being renewed) as verified by the Shellfish Constable. Status of residency, as defined in Section 2 of these Regulations, must be resumed, and verified by the Shellfish Constable within eighteen (18) months from the time of the license holder’s removal to another town, or the licensee will be removed from the license. </w:t>
      </w:r>
    </w:p>
    <w:p w14:paraId="6BA01EF9" w14:textId="1902E79C" w:rsidR="007B72A9" w:rsidRPr="007B72A9" w:rsidRDefault="007B72A9" w:rsidP="007B72A9">
      <w:pPr>
        <w:pStyle w:val="NormalWeb"/>
        <w:rPr>
          <w:sz w:val="32"/>
          <w:szCs w:val="32"/>
        </w:rPr>
      </w:pPr>
      <w:r w:rsidRPr="007B72A9">
        <w:rPr>
          <w:rFonts w:ascii="Times" w:hAnsi="Times"/>
          <w:sz w:val="32"/>
          <w:szCs w:val="32"/>
        </w:rPr>
        <w:t>Within 30 days of the nine-month anniversary of losing his/her</w:t>
      </w:r>
      <w:r>
        <w:rPr>
          <w:rFonts w:ascii="Times" w:hAnsi="Times"/>
          <w:sz w:val="32"/>
          <w:szCs w:val="32"/>
        </w:rPr>
        <w:t>/</w:t>
      </w:r>
      <w:r w:rsidRPr="007B72A9">
        <w:rPr>
          <w:rFonts w:ascii="Times" w:hAnsi="Times"/>
          <w:sz w:val="32"/>
          <w:szCs w:val="32"/>
        </w:rPr>
        <w:t xml:space="preserve"> domicile status, the lease holder shall demonstrate sufficient evidence of effort to secure housing in Wellfleet to the satisfaction of the Shellfish Constable. If the lease holder fails to qualify for such an exception, they may appeal the Shellfish Constable's decision to the Selectboard within 30 days. </w:t>
      </w:r>
    </w:p>
    <w:p w14:paraId="78D13A1A" w14:textId="77777777" w:rsidR="007B72A9" w:rsidRPr="007B72A9" w:rsidRDefault="007B72A9" w:rsidP="007B72A9">
      <w:pPr>
        <w:pStyle w:val="NormalWeb"/>
        <w:rPr>
          <w:sz w:val="32"/>
          <w:szCs w:val="32"/>
        </w:rPr>
      </w:pPr>
      <w:r w:rsidRPr="007B72A9">
        <w:rPr>
          <w:rFonts w:ascii="Times" w:hAnsi="Times"/>
          <w:sz w:val="32"/>
          <w:szCs w:val="32"/>
        </w:rPr>
        <w:t xml:space="preserve">No aquaculture license or commercial permit from another municipality for the harvest of shellfish may be held by the individual for the duration of the allowed term. A licensee making use of an exemption shall not be eligible to be granted a new license or an extension of a currently licensed area for the duration of the allowed term but may be granted a renewal of their existing license, as per Section 7.8.2. </w:t>
      </w:r>
    </w:p>
    <w:p w14:paraId="0DAEFD32" w14:textId="00D3D37D" w:rsidR="007B72A9" w:rsidRDefault="007B72A9" w:rsidP="007B72A9">
      <w:pPr>
        <w:pStyle w:val="NormalWeb"/>
        <w:rPr>
          <w:rFonts w:ascii="Times" w:hAnsi="Times"/>
          <w:sz w:val="32"/>
          <w:szCs w:val="32"/>
        </w:rPr>
      </w:pPr>
      <w:r w:rsidRPr="007B72A9">
        <w:rPr>
          <w:rFonts w:ascii="Times" w:hAnsi="Times"/>
          <w:sz w:val="32"/>
          <w:szCs w:val="32"/>
        </w:rPr>
        <w:lastRenderedPageBreak/>
        <w:t xml:space="preserve">The status of all other licensees named to the licensed area will not change. If a licensee ceases to be a domiciled resident and is the sole </w:t>
      </w:r>
      <w:r w:rsidR="00E47B1B">
        <w:rPr>
          <w:rFonts w:ascii="Times" w:hAnsi="Times"/>
          <w:b/>
          <w:bCs/>
          <w:sz w:val="32"/>
          <w:szCs w:val="32"/>
        </w:rPr>
        <w:t xml:space="preserve">person named to that grant </w:t>
      </w:r>
      <w:r w:rsidRPr="00E47B1B">
        <w:rPr>
          <w:rFonts w:ascii="Times" w:hAnsi="Times"/>
          <w:strike/>
          <w:sz w:val="32"/>
          <w:szCs w:val="32"/>
        </w:rPr>
        <w:t>licensee</w:t>
      </w:r>
      <w:r w:rsidRPr="007B72A9">
        <w:rPr>
          <w:rFonts w:ascii="Times" w:hAnsi="Times"/>
          <w:sz w:val="32"/>
          <w:szCs w:val="32"/>
        </w:rPr>
        <w:t xml:space="preserve">, then the license shall be revoked. </w:t>
      </w:r>
    </w:p>
    <w:p w14:paraId="5848A6AF" w14:textId="0569462B" w:rsidR="007B72A9" w:rsidRDefault="007B72A9" w:rsidP="007B72A9">
      <w:pPr>
        <w:pStyle w:val="NormalWeb"/>
        <w:rPr>
          <w:rFonts w:ascii="Times" w:hAnsi="Times"/>
          <w:b/>
          <w:bCs/>
          <w:sz w:val="32"/>
          <w:szCs w:val="32"/>
        </w:rPr>
      </w:pPr>
      <w:r>
        <w:rPr>
          <w:rFonts w:ascii="Times" w:hAnsi="Times"/>
          <w:b/>
          <w:bCs/>
          <w:sz w:val="32"/>
          <w:szCs w:val="32"/>
        </w:rPr>
        <w:t xml:space="preserve">§7.8.2(b) All and any members of </w:t>
      </w:r>
      <w:proofErr w:type="gramStart"/>
      <w:r>
        <w:rPr>
          <w:rFonts w:ascii="Times" w:hAnsi="Times"/>
          <w:b/>
          <w:bCs/>
          <w:sz w:val="32"/>
          <w:szCs w:val="32"/>
        </w:rPr>
        <w:t>entities  hold</w:t>
      </w:r>
      <w:r w:rsidR="00660452">
        <w:rPr>
          <w:rFonts w:ascii="Times" w:hAnsi="Times"/>
          <w:b/>
          <w:bCs/>
          <w:sz w:val="32"/>
          <w:szCs w:val="32"/>
        </w:rPr>
        <w:t>ing</w:t>
      </w:r>
      <w:proofErr w:type="gramEnd"/>
      <w:r>
        <w:rPr>
          <w:rFonts w:ascii="Times" w:hAnsi="Times"/>
          <w:b/>
          <w:bCs/>
          <w:sz w:val="32"/>
          <w:szCs w:val="32"/>
        </w:rPr>
        <w:t xml:space="preserve"> an aquaculture license, including but not limited to Corporations, Limited Liability Companies (LLCs), Doing Business As companies (DBAs), must be domiciled in Wellfleet. If any member of such an entity loses his, her, or their domiciled status, they can either leave the entity or, if their change of status </w:t>
      </w:r>
      <w:r w:rsidR="00660452">
        <w:rPr>
          <w:rFonts w:ascii="Times" w:hAnsi="Times"/>
          <w:b/>
          <w:bCs/>
          <w:sz w:val="32"/>
          <w:szCs w:val="32"/>
        </w:rPr>
        <w:t>“</w:t>
      </w:r>
      <w:r>
        <w:rPr>
          <w:rFonts w:ascii="Times" w:hAnsi="Times"/>
          <w:b/>
          <w:bCs/>
          <w:sz w:val="32"/>
          <w:szCs w:val="32"/>
        </w:rPr>
        <w:t xml:space="preserve">is clearly beyond their control” have recourse to reinstate themselves as allowed </w:t>
      </w:r>
      <w:proofErr w:type="gramStart"/>
      <w:r>
        <w:rPr>
          <w:rFonts w:ascii="Times" w:hAnsi="Times"/>
          <w:b/>
          <w:bCs/>
          <w:sz w:val="32"/>
          <w:szCs w:val="32"/>
        </w:rPr>
        <w:t>under  §</w:t>
      </w:r>
      <w:proofErr w:type="gramEnd"/>
      <w:r>
        <w:rPr>
          <w:rFonts w:ascii="Times" w:hAnsi="Times"/>
          <w:b/>
          <w:bCs/>
          <w:sz w:val="32"/>
          <w:szCs w:val="32"/>
        </w:rPr>
        <w:t>7.28.2(a)</w:t>
      </w:r>
    </w:p>
    <w:p w14:paraId="6C74A007" w14:textId="368754AE" w:rsidR="007B72A9" w:rsidRPr="007B72A9" w:rsidRDefault="00660452" w:rsidP="007B72A9">
      <w:pPr>
        <w:pStyle w:val="NormalWeb"/>
        <w:rPr>
          <w:color w:val="FF0000"/>
          <w:sz w:val="32"/>
          <w:szCs w:val="32"/>
        </w:rPr>
      </w:pPr>
      <w:r>
        <w:rPr>
          <w:rFonts w:ascii="Times" w:hAnsi="Times"/>
          <w:color w:val="FF0000"/>
          <w:sz w:val="32"/>
          <w:szCs w:val="32"/>
        </w:rPr>
        <w:t>S</w:t>
      </w:r>
      <w:r w:rsidR="007B72A9" w:rsidRPr="007B72A9">
        <w:rPr>
          <w:rFonts w:ascii="Times" w:hAnsi="Times"/>
          <w:color w:val="FF0000"/>
          <w:sz w:val="32"/>
          <w:szCs w:val="32"/>
        </w:rPr>
        <w:t xml:space="preserve">hould </w:t>
      </w:r>
      <w:proofErr w:type="spellStart"/>
      <w:r w:rsidR="007B72A9" w:rsidRPr="007B72A9">
        <w:rPr>
          <w:rFonts w:ascii="Times" w:hAnsi="Times"/>
          <w:color w:val="FF0000"/>
          <w:sz w:val="32"/>
          <w:szCs w:val="32"/>
        </w:rPr>
        <w:t>these</w:t>
      </w:r>
      <w:proofErr w:type="spellEnd"/>
      <w:r w:rsidR="007B72A9" w:rsidRPr="007B72A9">
        <w:rPr>
          <w:rFonts w:ascii="Times" w:hAnsi="Times"/>
          <w:color w:val="FF0000"/>
          <w:sz w:val="32"/>
          <w:szCs w:val="32"/>
        </w:rPr>
        <w:t xml:space="preserve"> be (a) and (b)?</w:t>
      </w:r>
    </w:p>
    <w:p w14:paraId="2339132E" w14:textId="0D34237C" w:rsidR="007B72A9" w:rsidRDefault="007B72A9" w:rsidP="00054C38">
      <w:pPr>
        <w:rPr>
          <w:rFonts w:ascii="Times New Roman" w:hAnsi="Times New Roman" w:cs="Times New Roman (Body CS)"/>
          <w:sz w:val="32"/>
          <w:szCs w:val="32"/>
          <w:u w:val="single"/>
        </w:rPr>
      </w:pPr>
    </w:p>
    <w:p w14:paraId="52C9D866" w14:textId="77777777" w:rsidR="007B72A9" w:rsidRDefault="007B72A9" w:rsidP="00054C38">
      <w:pPr>
        <w:rPr>
          <w:rFonts w:ascii="Times New Roman" w:hAnsi="Times New Roman" w:cs="Times New Roman (Body CS)"/>
          <w:sz w:val="32"/>
          <w:szCs w:val="32"/>
          <w:u w:val="single"/>
        </w:rPr>
      </w:pPr>
    </w:p>
    <w:p w14:paraId="51DB6D08" w14:textId="77777777" w:rsidR="007B72A9" w:rsidRDefault="007B72A9" w:rsidP="00054C38">
      <w:pPr>
        <w:rPr>
          <w:rFonts w:ascii="Times New Roman" w:hAnsi="Times New Roman" w:cs="Times New Roman (Body CS)"/>
          <w:sz w:val="32"/>
          <w:szCs w:val="32"/>
          <w:u w:val="single"/>
        </w:rPr>
      </w:pPr>
    </w:p>
    <w:p w14:paraId="3EC61760" w14:textId="247FB1F9" w:rsidR="00054C38" w:rsidRDefault="00054C38" w:rsidP="00054C38">
      <w:pPr>
        <w:rPr>
          <w:rFonts w:ascii="Times" w:hAnsi="Times"/>
          <w:sz w:val="32"/>
          <w:szCs w:val="32"/>
          <w:u w:val="single"/>
        </w:rPr>
      </w:pPr>
      <w:r>
        <w:rPr>
          <w:rFonts w:ascii="Times New Roman" w:hAnsi="Times New Roman" w:cs="Times New Roman (Body CS)"/>
          <w:sz w:val="32"/>
          <w:szCs w:val="32"/>
          <w:u w:val="single"/>
        </w:rPr>
        <w:t xml:space="preserve">DRAFT §7.8.4 </w:t>
      </w:r>
      <w:r w:rsidRPr="00882897">
        <w:rPr>
          <w:rFonts w:ascii="Times" w:hAnsi="Times"/>
          <w:sz w:val="32"/>
          <w:szCs w:val="32"/>
          <w:u w:val="single"/>
        </w:rPr>
        <w:t>Limit on Individuals Licensed to Use a Grant</w:t>
      </w:r>
    </w:p>
    <w:p w14:paraId="3DE7EC0C" w14:textId="77777777" w:rsidR="00660452" w:rsidRDefault="00054C38" w:rsidP="007B72A9">
      <w:pPr>
        <w:pStyle w:val="NormalWeb"/>
        <w:rPr>
          <w:rFonts w:ascii="Times" w:hAnsi="Times"/>
          <w:sz w:val="32"/>
          <w:szCs w:val="32"/>
          <w:u w:val="single"/>
        </w:rPr>
      </w:pPr>
      <w:r w:rsidRPr="007B72A9">
        <w:rPr>
          <w:rFonts w:ascii="Times" w:hAnsi="Times"/>
          <w:sz w:val="32"/>
          <w:szCs w:val="32"/>
        </w:rPr>
        <w:t xml:space="preserve"> </w:t>
      </w:r>
      <w:r w:rsidR="007B72A9" w:rsidRPr="007B72A9">
        <w:rPr>
          <w:rFonts w:ascii="Times" w:hAnsi="Times"/>
          <w:sz w:val="32"/>
          <w:szCs w:val="32"/>
        </w:rPr>
        <w:t xml:space="preserve">7.8.4. </w:t>
      </w:r>
      <w:r w:rsidR="007B72A9" w:rsidRPr="00660452">
        <w:rPr>
          <w:rFonts w:ascii="Times" w:hAnsi="Times"/>
          <w:sz w:val="32"/>
          <w:szCs w:val="32"/>
          <w:u w:val="single"/>
        </w:rPr>
        <w:t>Limit on Individuals Licensed to Use a Grant</w:t>
      </w:r>
    </w:p>
    <w:p w14:paraId="75DE4F53" w14:textId="56CAD205" w:rsidR="00660452" w:rsidRDefault="007B72A9" w:rsidP="007B72A9">
      <w:pPr>
        <w:pStyle w:val="NormalWeb"/>
        <w:rPr>
          <w:rFonts w:ascii="Times" w:hAnsi="Times"/>
          <w:sz w:val="32"/>
          <w:szCs w:val="32"/>
        </w:rPr>
      </w:pPr>
      <w:r w:rsidRPr="007B72A9">
        <w:rPr>
          <w:rFonts w:ascii="Times" w:hAnsi="Times"/>
          <w:sz w:val="32"/>
          <w:szCs w:val="32"/>
        </w:rPr>
        <w:br/>
        <w:t xml:space="preserve">Licenses issued under </w:t>
      </w:r>
      <w:r w:rsidRPr="007B72A9">
        <w:rPr>
          <w:rFonts w:ascii="Times" w:hAnsi="Times"/>
          <w:color w:val="0000FF"/>
          <w:sz w:val="32"/>
          <w:szCs w:val="32"/>
        </w:rPr>
        <w:t xml:space="preserve">MGL Chapter 130; Section 57 </w:t>
      </w:r>
      <w:r w:rsidRPr="007B72A9">
        <w:rPr>
          <w:rFonts w:ascii="Times" w:hAnsi="Times"/>
          <w:sz w:val="32"/>
          <w:szCs w:val="32"/>
        </w:rPr>
        <w:t>by the Selectboard of the Town of Wellfleet may be issued to up to four (4)</w:t>
      </w:r>
      <w:r w:rsidR="009D61B7">
        <w:rPr>
          <w:rFonts w:ascii="Times" w:hAnsi="Times"/>
          <w:sz w:val="32"/>
          <w:szCs w:val="32"/>
        </w:rPr>
        <w:t xml:space="preserve"> </w:t>
      </w:r>
      <w:r w:rsidR="009D61B7" w:rsidRPr="009D61B7">
        <w:rPr>
          <w:rFonts w:ascii="Times" w:hAnsi="Times"/>
          <w:b/>
          <w:bCs/>
          <w:sz w:val="32"/>
          <w:szCs w:val="32"/>
        </w:rPr>
        <w:t>persons</w:t>
      </w:r>
      <w:r w:rsidRPr="009D61B7">
        <w:rPr>
          <w:rFonts w:ascii="Times" w:hAnsi="Times"/>
          <w:b/>
          <w:bCs/>
          <w:sz w:val="32"/>
          <w:szCs w:val="32"/>
        </w:rPr>
        <w:t xml:space="preserve"> </w:t>
      </w:r>
      <w:r w:rsidRPr="009D61B7">
        <w:rPr>
          <w:rFonts w:ascii="Times" w:hAnsi="Times"/>
          <w:strike/>
          <w:sz w:val="32"/>
          <w:szCs w:val="32"/>
        </w:rPr>
        <w:t>individuals</w:t>
      </w:r>
      <w:r w:rsidRPr="007B72A9">
        <w:rPr>
          <w:rFonts w:ascii="Times" w:hAnsi="Times"/>
          <w:sz w:val="32"/>
          <w:szCs w:val="32"/>
        </w:rPr>
        <w:t xml:space="preserve">, 18 years of age or older, meeting the requirements set forth </w:t>
      </w:r>
      <w:r w:rsidR="009D61B7" w:rsidRPr="009D61B7">
        <w:rPr>
          <w:rFonts w:ascii="Times" w:hAnsi="Times"/>
          <w:b/>
          <w:bCs/>
          <w:sz w:val="32"/>
          <w:szCs w:val="32"/>
        </w:rPr>
        <w:t xml:space="preserve">in </w:t>
      </w:r>
      <w:r w:rsidRPr="007B72A9">
        <w:rPr>
          <w:rFonts w:ascii="Times" w:hAnsi="Times"/>
          <w:sz w:val="32"/>
          <w:szCs w:val="32"/>
        </w:rPr>
        <w:t>Section 7. The Selectboard will not recognize more than four</w:t>
      </w:r>
      <w:r w:rsidRPr="007B72A9">
        <w:rPr>
          <w:rFonts w:ascii="Times" w:hAnsi="Times"/>
          <w:color w:val="000000" w:themeColor="text1"/>
          <w:sz w:val="32"/>
          <w:szCs w:val="32"/>
        </w:rPr>
        <w:t xml:space="preserve"> (4) </w:t>
      </w:r>
      <w:r w:rsidRPr="007B72A9">
        <w:rPr>
          <w:rFonts w:ascii="Times" w:hAnsi="Times"/>
          <w:b/>
          <w:bCs/>
          <w:color w:val="000000" w:themeColor="text1"/>
          <w:sz w:val="32"/>
          <w:szCs w:val="32"/>
        </w:rPr>
        <w:t xml:space="preserve">persons, including each member of an entity licensed as an </w:t>
      </w:r>
      <w:r w:rsidR="00E47B1B">
        <w:rPr>
          <w:rFonts w:ascii="Times" w:hAnsi="Times"/>
          <w:b/>
          <w:bCs/>
          <w:color w:val="0070C0"/>
          <w:sz w:val="32"/>
          <w:szCs w:val="32"/>
        </w:rPr>
        <w:t>“</w:t>
      </w:r>
      <w:r w:rsidRPr="007B72A9">
        <w:rPr>
          <w:rFonts w:ascii="Times" w:hAnsi="Times"/>
          <w:b/>
          <w:bCs/>
          <w:color w:val="000000" w:themeColor="text1"/>
          <w:sz w:val="32"/>
          <w:szCs w:val="32"/>
        </w:rPr>
        <w:t>individual</w:t>
      </w:r>
      <w:r w:rsidR="00E47B1B">
        <w:rPr>
          <w:rFonts w:ascii="Times" w:hAnsi="Times"/>
          <w:b/>
          <w:bCs/>
          <w:color w:val="0070C0"/>
          <w:sz w:val="32"/>
          <w:szCs w:val="32"/>
        </w:rPr>
        <w:t>”</w:t>
      </w:r>
      <w:r w:rsidR="00E47B1B">
        <w:rPr>
          <w:rFonts w:ascii="Times" w:hAnsi="Times"/>
          <w:b/>
          <w:bCs/>
          <w:color w:val="000000" w:themeColor="text1"/>
          <w:sz w:val="32"/>
          <w:szCs w:val="32"/>
        </w:rPr>
        <w:t>,</w:t>
      </w:r>
      <w:r>
        <w:rPr>
          <w:rFonts w:ascii="Times" w:hAnsi="Times"/>
          <w:b/>
          <w:bCs/>
          <w:color w:val="FF0000"/>
          <w:sz w:val="32"/>
          <w:szCs w:val="32"/>
        </w:rPr>
        <w:t xml:space="preserve"> </w:t>
      </w:r>
      <w:r w:rsidRPr="007B72A9">
        <w:rPr>
          <w:rFonts w:ascii="Times" w:hAnsi="Times"/>
          <w:sz w:val="32"/>
          <w:szCs w:val="32"/>
        </w:rPr>
        <w:t>as licensees on any one license</w:t>
      </w:r>
      <w:r w:rsidR="00367BC4">
        <w:rPr>
          <w:rFonts w:ascii="Times" w:hAnsi="Times"/>
          <w:b/>
          <w:bCs/>
          <w:sz w:val="32"/>
          <w:szCs w:val="32"/>
        </w:rPr>
        <w:t>d area</w:t>
      </w:r>
      <w:r w:rsidRPr="007B72A9">
        <w:rPr>
          <w:rFonts w:ascii="Times" w:hAnsi="Times"/>
          <w:sz w:val="32"/>
          <w:szCs w:val="32"/>
        </w:rPr>
        <w:t xml:space="preserve">. Each </w:t>
      </w:r>
      <w:r>
        <w:rPr>
          <w:rFonts w:ascii="Times" w:hAnsi="Times"/>
          <w:sz w:val="32"/>
          <w:szCs w:val="32"/>
        </w:rPr>
        <w:t xml:space="preserve">person or </w:t>
      </w:r>
      <w:r w:rsidR="009D61B7" w:rsidRPr="009D61B7">
        <w:rPr>
          <w:rFonts w:ascii="Times" w:hAnsi="Times"/>
          <w:b/>
          <w:bCs/>
          <w:sz w:val="32"/>
          <w:szCs w:val="32"/>
        </w:rPr>
        <w:t>member of</w:t>
      </w:r>
      <w:r w:rsidR="009D61B7">
        <w:rPr>
          <w:rFonts w:ascii="Times" w:hAnsi="Times"/>
          <w:sz w:val="32"/>
          <w:szCs w:val="32"/>
        </w:rPr>
        <w:t xml:space="preserve"> </w:t>
      </w:r>
      <w:r w:rsidR="009D61B7" w:rsidRPr="009D61B7">
        <w:rPr>
          <w:rFonts w:ascii="Times" w:hAnsi="Times"/>
          <w:b/>
          <w:bCs/>
          <w:sz w:val="32"/>
          <w:szCs w:val="32"/>
        </w:rPr>
        <w:t xml:space="preserve">an </w:t>
      </w:r>
      <w:r w:rsidRPr="009D61B7">
        <w:rPr>
          <w:rFonts w:ascii="Times" w:hAnsi="Times"/>
          <w:b/>
          <w:bCs/>
          <w:sz w:val="32"/>
          <w:szCs w:val="32"/>
        </w:rPr>
        <w:t>entity</w:t>
      </w:r>
      <w:r>
        <w:rPr>
          <w:rFonts w:ascii="Times" w:hAnsi="Times"/>
          <w:sz w:val="32"/>
          <w:szCs w:val="32"/>
        </w:rPr>
        <w:t xml:space="preserve"> </w:t>
      </w:r>
      <w:r w:rsidRPr="007B72A9">
        <w:rPr>
          <w:rFonts w:ascii="Times" w:hAnsi="Times"/>
          <w:sz w:val="32"/>
          <w:szCs w:val="32"/>
        </w:rPr>
        <w:t>who is licensed to use an area for aquaculture must acknowledge and approve the addition of any person who subsequently applies to be included on that license</w:t>
      </w:r>
      <w:r w:rsidR="009D61B7">
        <w:rPr>
          <w:rFonts w:ascii="Times" w:hAnsi="Times"/>
          <w:b/>
          <w:bCs/>
          <w:sz w:val="32"/>
          <w:szCs w:val="32"/>
        </w:rPr>
        <w:t>d area.</w:t>
      </w:r>
      <w:r w:rsidRPr="007B72A9">
        <w:rPr>
          <w:rFonts w:ascii="Times" w:hAnsi="Times"/>
          <w:sz w:val="32"/>
          <w:szCs w:val="32"/>
        </w:rPr>
        <w:t xml:space="preserve"> </w:t>
      </w:r>
    </w:p>
    <w:p w14:paraId="6B63EDC0" w14:textId="6C96157E" w:rsidR="007B72A9" w:rsidRPr="00660452" w:rsidRDefault="00660452" w:rsidP="007B72A9">
      <w:pPr>
        <w:pStyle w:val="NormalWeb"/>
        <w:rPr>
          <w:rFonts w:ascii="Times" w:hAnsi="Times"/>
          <w:sz w:val="32"/>
          <w:szCs w:val="32"/>
        </w:rPr>
      </w:pPr>
      <w:r w:rsidRPr="00660452">
        <w:rPr>
          <w:rFonts w:ascii="Times" w:hAnsi="Times"/>
          <w:color w:val="FF0000"/>
          <w:sz w:val="32"/>
          <w:szCs w:val="32"/>
        </w:rPr>
        <w:t>C</w:t>
      </w:r>
      <w:r w:rsidR="007B72A9" w:rsidRPr="00660452">
        <w:rPr>
          <w:rFonts w:ascii="Times" w:hAnsi="Times"/>
          <w:color w:val="FF0000"/>
          <w:sz w:val="32"/>
          <w:szCs w:val="32"/>
        </w:rPr>
        <w:t>o</w:t>
      </w:r>
      <w:r w:rsidR="007B72A9" w:rsidRPr="007B72A9">
        <w:rPr>
          <w:rFonts w:ascii="Times" w:hAnsi="Times"/>
          <w:color w:val="FF0000"/>
          <w:sz w:val="32"/>
          <w:szCs w:val="32"/>
        </w:rPr>
        <w:t xml:space="preserve">unting every actual human licensed to use the grant may be controversial but prevents a loophole that could allow an entity with </w:t>
      </w:r>
      <w:r w:rsidR="007B72A9">
        <w:rPr>
          <w:rFonts w:ascii="Times" w:hAnsi="Times"/>
          <w:color w:val="FF0000"/>
          <w:sz w:val="32"/>
          <w:szCs w:val="32"/>
          <w:u w:val="single"/>
        </w:rPr>
        <w:t>more</w:t>
      </w:r>
      <w:r w:rsidR="00CC1071">
        <w:rPr>
          <w:rFonts w:ascii="Times" w:hAnsi="Times"/>
          <w:color w:val="FF0000"/>
          <w:sz w:val="32"/>
          <w:szCs w:val="32"/>
          <w:u w:val="single"/>
        </w:rPr>
        <w:t>, way more,</w:t>
      </w:r>
      <w:r w:rsidR="007B72A9">
        <w:rPr>
          <w:rFonts w:ascii="Times" w:hAnsi="Times"/>
          <w:color w:val="FF0000"/>
          <w:sz w:val="32"/>
          <w:szCs w:val="32"/>
          <w:u w:val="single"/>
        </w:rPr>
        <w:t xml:space="preserve"> than 4</w:t>
      </w:r>
      <w:r w:rsidR="007B72A9" w:rsidRPr="00CC1071">
        <w:rPr>
          <w:rFonts w:ascii="Times" w:hAnsi="Times"/>
          <w:color w:val="FF0000"/>
          <w:sz w:val="32"/>
          <w:szCs w:val="32"/>
        </w:rPr>
        <w:t xml:space="preserve"> </w:t>
      </w:r>
      <w:r w:rsidR="007B72A9" w:rsidRPr="007B72A9">
        <w:rPr>
          <w:rFonts w:ascii="Times" w:hAnsi="Times"/>
          <w:color w:val="FF0000"/>
          <w:sz w:val="32"/>
          <w:szCs w:val="32"/>
        </w:rPr>
        <w:t xml:space="preserve">members to </w:t>
      </w:r>
      <w:r w:rsidR="007B72A9">
        <w:rPr>
          <w:rFonts w:ascii="Times" w:hAnsi="Times"/>
          <w:color w:val="FF0000"/>
          <w:sz w:val="32"/>
          <w:szCs w:val="32"/>
        </w:rPr>
        <w:t xml:space="preserve">be </w:t>
      </w:r>
      <w:r w:rsidR="007B72A9" w:rsidRPr="007B72A9">
        <w:rPr>
          <w:rFonts w:ascii="Times" w:hAnsi="Times"/>
          <w:color w:val="FF0000"/>
          <w:sz w:val="32"/>
          <w:szCs w:val="32"/>
        </w:rPr>
        <w:t>licensed.</w:t>
      </w:r>
    </w:p>
    <w:p w14:paraId="00CE59F1" w14:textId="5891BC1D" w:rsidR="00054C38" w:rsidRPr="00054C38" w:rsidRDefault="00054C38" w:rsidP="00054C38">
      <w:pPr>
        <w:rPr>
          <w:rFonts w:ascii="Times New Roman" w:hAnsi="Times New Roman" w:cs="Times New Roman (Body CS)"/>
          <w:sz w:val="32"/>
          <w:szCs w:val="32"/>
          <w:u w:val="single"/>
        </w:rPr>
      </w:pPr>
    </w:p>
    <w:p w14:paraId="7C042874" w14:textId="77777777" w:rsidR="00054C38" w:rsidRDefault="009C1AC3" w:rsidP="006F2B3A">
      <w:pPr>
        <w:pStyle w:val="NormalWeb"/>
        <w:rPr>
          <w:rFonts w:ascii="Times" w:hAnsi="Times"/>
          <w:sz w:val="32"/>
          <w:szCs w:val="32"/>
          <w:u w:val="single"/>
        </w:rPr>
      </w:pPr>
      <w:r>
        <w:rPr>
          <w:rFonts w:ascii="Times" w:hAnsi="Times"/>
          <w:sz w:val="32"/>
          <w:szCs w:val="32"/>
        </w:rPr>
        <w:t xml:space="preserve">DRAFT </w:t>
      </w:r>
      <w:r w:rsidR="006F2B3A" w:rsidRPr="006F2B3A">
        <w:rPr>
          <w:rFonts w:ascii="Times" w:hAnsi="Times"/>
          <w:sz w:val="32"/>
          <w:szCs w:val="32"/>
        </w:rPr>
        <w:t>7.8.</w:t>
      </w:r>
      <w:r>
        <w:rPr>
          <w:rFonts w:ascii="Times" w:hAnsi="Times"/>
          <w:sz w:val="32"/>
          <w:szCs w:val="32"/>
        </w:rPr>
        <w:t xml:space="preserve">6 </w:t>
      </w:r>
      <w:r w:rsidRPr="009C1AC3">
        <w:rPr>
          <w:rFonts w:ascii="Times" w:hAnsi="Times"/>
          <w:sz w:val="32"/>
          <w:szCs w:val="32"/>
          <w:u w:val="single"/>
        </w:rPr>
        <w:t>Limit on Size of Grant</w:t>
      </w:r>
      <w:r>
        <w:rPr>
          <w:rFonts w:ascii="Times" w:hAnsi="Times"/>
          <w:sz w:val="32"/>
          <w:szCs w:val="32"/>
        </w:rPr>
        <w:t xml:space="preserve"> </w:t>
      </w:r>
      <w:r>
        <w:rPr>
          <w:rFonts w:ascii="Times" w:hAnsi="Times"/>
          <w:sz w:val="32"/>
          <w:szCs w:val="32"/>
          <w:u w:val="single"/>
        </w:rPr>
        <w:t xml:space="preserve"> </w:t>
      </w:r>
    </w:p>
    <w:p w14:paraId="70ACCCC1" w14:textId="043AAD66" w:rsidR="006F2B3A" w:rsidRDefault="009C1AC3" w:rsidP="006F2B3A">
      <w:pPr>
        <w:pStyle w:val="NormalWeb"/>
        <w:rPr>
          <w:rFonts w:ascii="Times" w:hAnsi="Times"/>
          <w:sz w:val="32"/>
          <w:szCs w:val="32"/>
        </w:rPr>
      </w:pPr>
      <w:r w:rsidRPr="009C1AC3">
        <w:rPr>
          <w:rFonts w:ascii="Times" w:hAnsi="Times"/>
          <w:sz w:val="32"/>
          <w:szCs w:val="32"/>
        </w:rPr>
        <w:t xml:space="preserve">No licensee shall hold a license </w:t>
      </w:r>
      <w:r w:rsidR="00A62F47" w:rsidRPr="009C1AC3">
        <w:rPr>
          <w:rFonts w:ascii="Times" w:hAnsi="Times"/>
          <w:sz w:val="32"/>
          <w:szCs w:val="32"/>
        </w:rPr>
        <w:t>for</w:t>
      </w:r>
      <w:r w:rsidRPr="00E47B1B">
        <w:rPr>
          <w:rFonts w:ascii="Times" w:hAnsi="Times"/>
          <w:sz w:val="32"/>
          <w:szCs w:val="32"/>
        </w:rPr>
        <w:t xml:space="preserve">, </w:t>
      </w:r>
      <w:r w:rsidRPr="009D61B7">
        <w:rPr>
          <w:rFonts w:ascii="Times" w:hAnsi="Times"/>
          <w:strike/>
          <w:sz w:val="32"/>
          <w:szCs w:val="32"/>
        </w:rPr>
        <w:t>or have use of</w:t>
      </w:r>
      <w:r>
        <w:rPr>
          <w:rFonts w:ascii="Times" w:hAnsi="Times"/>
          <w:sz w:val="32"/>
          <w:szCs w:val="32"/>
        </w:rPr>
        <w:t>,</w:t>
      </w:r>
      <w:r w:rsidR="00A62F47" w:rsidRPr="009C1AC3">
        <w:rPr>
          <w:rFonts w:ascii="Times" w:hAnsi="Times"/>
          <w:sz w:val="32"/>
          <w:szCs w:val="32"/>
        </w:rPr>
        <w:t xml:space="preserve"> </w:t>
      </w:r>
      <w:r w:rsidR="006F2B3A" w:rsidRPr="009C1AC3">
        <w:rPr>
          <w:rFonts w:ascii="Times" w:hAnsi="Times"/>
          <w:sz w:val="32"/>
          <w:szCs w:val="32"/>
        </w:rPr>
        <w:t>more than seven (7) acres in total. Each</w:t>
      </w:r>
      <w:r w:rsidR="006F2B3A" w:rsidRPr="006F2B3A">
        <w:rPr>
          <w:rFonts w:ascii="Times" w:hAnsi="Times"/>
          <w:sz w:val="32"/>
          <w:szCs w:val="32"/>
        </w:rPr>
        <w:t xml:space="preserve"> person </w:t>
      </w:r>
      <w:r w:rsidRPr="009C1AC3">
        <w:rPr>
          <w:rFonts w:ascii="Times" w:hAnsi="Times"/>
          <w:b/>
          <w:bCs/>
          <w:sz w:val="32"/>
          <w:szCs w:val="32"/>
        </w:rPr>
        <w:t xml:space="preserve">or </w:t>
      </w:r>
      <w:r w:rsidR="00882897">
        <w:rPr>
          <w:rFonts w:ascii="Times" w:hAnsi="Times"/>
          <w:b/>
          <w:bCs/>
          <w:sz w:val="32"/>
          <w:szCs w:val="32"/>
        </w:rPr>
        <w:t xml:space="preserve">member of an </w:t>
      </w:r>
      <w:r w:rsidRPr="009C1AC3">
        <w:rPr>
          <w:rFonts w:ascii="Times" w:hAnsi="Times"/>
          <w:b/>
          <w:bCs/>
          <w:sz w:val="32"/>
          <w:szCs w:val="32"/>
        </w:rPr>
        <w:t>entity</w:t>
      </w:r>
      <w:r>
        <w:rPr>
          <w:rFonts w:ascii="Times" w:hAnsi="Times"/>
          <w:sz w:val="32"/>
          <w:szCs w:val="32"/>
        </w:rPr>
        <w:t xml:space="preserve"> </w:t>
      </w:r>
      <w:r w:rsidR="00882897" w:rsidRPr="00882897">
        <w:rPr>
          <w:rFonts w:ascii="Times" w:hAnsi="Times"/>
          <w:b/>
          <w:bCs/>
          <w:sz w:val="32"/>
          <w:szCs w:val="32"/>
        </w:rPr>
        <w:t xml:space="preserve">licensed as an </w:t>
      </w:r>
      <w:r w:rsidR="009D61B7">
        <w:rPr>
          <w:rFonts w:ascii="Times" w:hAnsi="Times"/>
          <w:b/>
          <w:bCs/>
          <w:sz w:val="32"/>
          <w:szCs w:val="32"/>
        </w:rPr>
        <w:t>“</w:t>
      </w:r>
      <w:r w:rsidR="00882897" w:rsidRPr="00882897">
        <w:rPr>
          <w:rFonts w:ascii="Times" w:hAnsi="Times"/>
          <w:b/>
          <w:bCs/>
          <w:sz w:val="32"/>
          <w:szCs w:val="32"/>
        </w:rPr>
        <w:t>individual</w:t>
      </w:r>
      <w:r w:rsidR="009D61B7">
        <w:rPr>
          <w:rFonts w:ascii="Times" w:hAnsi="Times"/>
          <w:b/>
          <w:bCs/>
          <w:sz w:val="32"/>
          <w:szCs w:val="32"/>
        </w:rPr>
        <w:t>”</w:t>
      </w:r>
      <w:r w:rsidR="00882897">
        <w:rPr>
          <w:rFonts w:ascii="Times" w:hAnsi="Times"/>
          <w:sz w:val="32"/>
          <w:szCs w:val="32"/>
        </w:rPr>
        <w:t xml:space="preserve"> </w:t>
      </w:r>
      <w:r w:rsidR="006F2B3A" w:rsidRPr="006F2B3A">
        <w:rPr>
          <w:rFonts w:ascii="Times" w:hAnsi="Times"/>
          <w:sz w:val="32"/>
          <w:szCs w:val="32"/>
        </w:rPr>
        <w:t>named on a</w:t>
      </w:r>
      <w:r>
        <w:rPr>
          <w:rFonts w:ascii="Times" w:hAnsi="Times"/>
          <w:sz w:val="32"/>
          <w:szCs w:val="32"/>
        </w:rPr>
        <w:t xml:space="preserve"> license </w:t>
      </w:r>
      <w:r w:rsidR="006F2B3A" w:rsidRPr="006F2B3A">
        <w:rPr>
          <w:rFonts w:ascii="Times" w:hAnsi="Times"/>
          <w:sz w:val="32"/>
          <w:szCs w:val="32"/>
        </w:rPr>
        <w:t xml:space="preserve">shall be charged with the total acreage covered by that license. (See Section 7.3 </w:t>
      </w:r>
      <w:r w:rsidR="006F2B3A" w:rsidRPr="00882897">
        <w:rPr>
          <w:rFonts w:ascii="Times" w:hAnsi="Times"/>
          <w:sz w:val="32"/>
          <w:szCs w:val="32"/>
          <w:u w:val="single"/>
        </w:rPr>
        <w:t>Annual License Fee</w:t>
      </w:r>
      <w:r w:rsidR="006F2B3A" w:rsidRPr="006F2B3A">
        <w:rPr>
          <w:rFonts w:ascii="Times" w:hAnsi="Times"/>
          <w:sz w:val="32"/>
          <w:szCs w:val="32"/>
        </w:rPr>
        <w:t xml:space="preserve">.) </w:t>
      </w:r>
      <w:r w:rsidR="00E47B1B">
        <w:rPr>
          <w:rFonts w:ascii="Times" w:hAnsi="Times"/>
          <w:sz w:val="32"/>
          <w:szCs w:val="32"/>
        </w:rPr>
        <w:t>“</w:t>
      </w:r>
      <w:r w:rsidR="006F2B3A" w:rsidRPr="006F2B3A">
        <w:rPr>
          <w:rFonts w:ascii="Times" w:hAnsi="Times"/>
          <w:sz w:val="32"/>
          <w:szCs w:val="32"/>
        </w:rPr>
        <w:t>Individuals</w:t>
      </w:r>
      <w:r w:rsidR="00E47B1B">
        <w:rPr>
          <w:rFonts w:ascii="Times" w:hAnsi="Times"/>
          <w:sz w:val="32"/>
          <w:szCs w:val="32"/>
        </w:rPr>
        <w:t>”</w:t>
      </w:r>
      <w:r w:rsidR="006F2B3A" w:rsidRPr="006F2B3A">
        <w:rPr>
          <w:rFonts w:ascii="Times" w:hAnsi="Times"/>
          <w:sz w:val="32"/>
          <w:szCs w:val="32"/>
        </w:rPr>
        <w:t xml:space="preserve"> </w:t>
      </w:r>
      <w:r w:rsidR="00E47B1B">
        <w:rPr>
          <w:rFonts w:ascii="Times" w:hAnsi="Times"/>
          <w:b/>
          <w:bCs/>
          <w:sz w:val="32"/>
          <w:szCs w:val="32"/>
        </w:rPr>
        <w:t xml:space="preserve">or persons </w:t>
      </w:r>
      <w:r w:rsidR="006F2B3A" w:rsidRPr="006F2B3A">
        <w:rPr>
          <w:rFonts w:ascii="Times" w:hAnsi="Times"/>
          <w:sz w:val="32"/>
          <w:szCs w:val="32"/>
        </w:rPr>
        <w:t>holding more than seven (7) acres prior to the adoption of the establishment of this limit will not be required to accept a license for a lesser acreage</w:t>
      </w:r>
      <w:r w:rsidR="006F2B3A">
        <w:rPr>
          <w:rFonts w:ascii="Times" w:hAnsi="Times"/>
          <w:sz w:val="32"/>
          <w:szCs w:val="32"/>
        </w:rPr>
        <w:t xml:space="preserve"> </w:t>
      </w:r>
      <w:r w:rsidR="006F2B3A" w:rsidRPr="006F2B3A">
        <w:rPr>
          <w:rFonts w:ascii="Times" w:hAnsi="Times"/>
          <w:sz w:val="32"/>
          <w:szCs w:val="32"/>
        </w:rPr>
        <w:t xml:space="preserve">but will not be eligible </w:t>
      </w:r>
      <w:r w:rsidR="006F2B3A" w:rsidRPr="009C1AC3">
        <w:rPr>
          <w:rFonts w:ascii="Times" w:hAnsi="Times"/>
          <w:sz w:val="32"/>
          <w:szCs w:val="32"/>
        </w:rPr>
        <w:t>for a license for any additional acreage.</w:t>
      </w:r>
      <w:r w:rsidR="006F2B3A" w:rsidRPr="009C1AC3">
        <w:rPr>
          <w:rFonts w:ascii="Times" w:hAnsi="Times"/>
          <w:b/>
          <w:bCs/>
          <w:sz w:val="32"/>
          <w:szCs w:val="32"/>
        </w:rPr>
        <w:t xml:space="preserve"> </w:t>
      </w:r>
      <w:r w:rsidR="00882897">
        <w:rPr>
          <w:rFonts w:ascii="Times" w:hAnsi="Times"/>
          <w:b/>
          <w:bCs/>
          <w:sz w:val="32"/>
          <w:szCs w:val="32"/>
        </w:rPr>
        <w:t>(</w:t>
      </w:r>
      <w:r w:rsidR="00882897">
        <w:rPr>
          <w:rFonts w:ascii="Times" w:hAnsi="Times"/>
          <w:sz w:val="32"/>
          <w:szCs w:val="32"/>
        </w:rPr>
        <w:t xml:space="preserve">See § 7.8.7 </w:t>
      </w:r>
      <w:r w:rsidR="00882897" w:rsidRPr="00E47B1B">
        <w:rPr>
          <w:rFonts w:ascii="Times" w:hAnsi="Times"/>
          <w:sz w:val="32"/>
          <w:szCs w:val="32"/>
          <w:u w:val="single"/>
        </w:rPr>
        <w:t>Grants Established Before August</w:t>
      </w:r>
      <w:r w:rsidR="00882897">
        <w:rPr>
          <w:rFonts w:ascii="Times" w:hAnsi="Times"/>
          <w:sz w:val="32"/>
          <w:szCs w:val="32"/>
        </w:rPr>
        <w:t xml:space="preserve"> 1, </w:t>
      </w:r>
      <w:r w:rsidR="00882897" w:rsidRPr="00E47B1B">
        <w:rPr>
          <w:rFonts w:ascii="Times" w:hAnsi="Times"/>
          <w:sz w:val="32"/>
          <w:szCs w:val="32"/>
          <w:u w:val="single"/>
        </w:rPr>
        <w:t>1993.</w:t>
      </w:r>
      <w:r w:rsidR="00882897">
        <w:rPr>
          <w:rFonts w:ascii="Times" w:hAnsi="Times"/>
          <w:sz w:val="32"/>
          <w:szCs w:val="32"/>
        </w:rPr>
        <w:t>)</w:t>
      </w:r>
    </w:p>
    <w:p w14:paraId="3DA926E6" w14:textId="6E874765" w:rsidR="00CC1071" w:rsidRPr="00CC1071" w:rsidRDefault="00E47B1B" w:rsidP="006F2B3A">
      <w:pPr>
        <w:pStyle w:val="NormalWeb"/>
        <w:rPr>
          <w:rFonts w:ascii="Times" w:hAnsi="Times"/>
          <w:color w:val="FF0000"/>
          <w:sz w:val="32"/>
          <w:szCs w:val="32"/>
        </w:rPr>
      </w:pPr>
      <w:r>
        <w:rPr>
          <w:rFonts w:ascii="Times" w:hAnsi="Times"/>
          <w:color w:val="FF0000"/>
          <w:sz w:val="32"/>
          <w:szCs w:val="32"/>
        </w:rPr>
        <w:t>Hmmm.</w:t>
      </w:r>
      <w:r w:rsidR="00CC1071">
        <w:rPr>
          <w:rFonts w:ascii="Times" w:hAnsi="Times"/>
          <w:color w:val="FF0000"/>
          <w:sz w:val="32"/>
          <w:szCs w:val="32"/>
        </w:rPr>
        <w:t xml:space="preserve"> </w:t>
      </w:r>
      <w:r>
        <w:rPr>
          <w:rFonts w:ascii="Times" w:hAnsi="Times"/>
          <w:color w:val="FF0000"/>
          <w:sz w:val="32"/>
          <w:szCs w:val="32"/>
        </w:rPr>
        <w:t>What happens when, say</w:t>
      </w:r>
      <w:r w:rsidR="00CC1071">
        <w:rPr>
          <w:rFonts w:ascii="Times" w:hAnsi="Times"/>
          <w:color w:val="FF0000"/>
          <w:sz w:val="32"/>
          <w:szCs w:val="32"/>
        </w:rPr>
        <w:t>, all the licensees on a</w:t>
      </w:r>
      <w:r w:rsidR="008E4E6B">
        <w:rPr>
          <w:rFonts w:ascii="Times" w:hAnsi="Times"/>
          <w:color w:val="FF0000"/>
          <w:sz w:val="32"/>
          <w:szCs w:val="32"/>
        </w:rPr>
        <w:t xml:space="preserve"> </w:t>
      </w:r>
      <w:r w:rsidR="00660452">
        <w:rPr>
          <w:rFonts w:ascii="Times" w:hAnsi="Times"/>
          <w:color w:val="FF0000"/>
          <w:sz w:val="32"/>
          <w:szCs w:val="32"/>
        </w:rPr>
        <w:t xml:space="preserve">grant of over 7 acres established </w:t>
      </w:r>
      <w:r w:rsidR="00660452">
        <w:rPr>
          <w:rFonts w:ascii="Times" w:hAnsi="Times"/>
          <w:color w:val="FF0000"/>
          <w:sz w:val="32"/>
          <w:szCs w:val="32"/>
        </w:rPr>
        <w:t xml:space="preserve">before August 1, </w:t>
      </w:r>
      <w:proofErr w:type="gramStart"/>
      <w:r w:rsidR="00660452">
        <w:rPr>
          <w:rFonts w:ascii="Times" w:hAnsi="Times"/>
          <w:color w:val="FF0000"/>
          <w:sz w:val="32"/>
          <w:szCs w:val="32"/>
        </w:rPr>
        <w:t>1993</w:t>
      </w:r>
      <w:proofErr w:type="gramEnd"/>
      <w:r w:rsidR="00660452">
        <w:rPr>
          <w:rFonts w:ascii="Times" w:hAnsi="Times"/>
          <w:color w:val="FF0000"/>
          <w:sz w:val="32"/>
          <w:szCs w:val="32"/>
        </w:rPr>
        <w:t xml:space="preserve"> o</w:t>
      </w:r>
      <w:r w:rsidR="00CC1071">
        <w:rPr>
          <w:rFonts w:ascii="Times" w:hAnsi="Times"/>
          <w:color w:val="FF0000"/>
          <w:sz w:val="32"/>
          <w:szCs w:val="32"/>
        </w:rPr>
        <w:t>ver-7 die or otherwise get off it? Should the size be grandfathered?</w:t>
      </w:r>
    </w:p>
    <w:p w14:paraId="4933D4E9" w14:textId="74701668" w:rsidR="006F2B3A" w:rsidRPr="009C1AC3" w:rsidRDefault="00993474">
      <w:pPr>
        <w:rPr>
          <w:rFonts w:ascii="Times New Roman" w:hAnsi="Times New Roman" w:cs="Times New Roman (Body CS)"/>
          <w:b/>
          <w:bCs/>
          <w:sz w:val="32"/>
          <w:szCs w:val="32"/>
        </w:rPr>
      </w:pPr>
      <w:r w:rsidRPr="009C1AC3">
        <w:rPr>
          <w:rFonts w:ascii="Times" w:hAnsi="Times"/>
          <w:b/>
          <w:bCs/>
          <w:sz w:val="32"/>
          <w:szCs w:val="32"/>
        </w:rPr>
        <w:t>Entities</w:t>
      </w:r>
      <w:r w:rsidR="00574942" w:rsidRPr="009C1AC3">
        <w:rPr>
          <w:rFonts w:ascii="Times" w:hAnsi="Times"/>
          <w:b/>
          <w:bCs/>
          <w:sz w:val="32"/>
          <w:szCs w:val="32"/>
        </w:rPr>
        <w:t xml:space="preserve">, with one or more members, </w:t>
      </w:r>
      <w:r w:rsidRPr="009C1AC3">
        <w:rPr>
          <w:rFonts w:ascii="Times" w:hAnsi="Times"/>
          <w:b/>
          <w:bCs/>
          <w:sz w:val="32"/>
          <w:szCs w:val="32"/>
        </w:rPr>
        <w:t xml:space="preserve">organized to function as an </w:t>
      </w:r>
      <w:r w:rsidR="00E47B1B">
        <w:rPr>
          <w:rFonts w:ascii="Times" w:hAnsi="Times"/>
          <w:b/>
          <w:bCs/>
          <w:sz w:val="32"/>
          <w:szCs w:val="32"/>
        </w:rPr>
        <w:t>“</w:t>
      </w:r>
      <w:r w:rsidR="009C1AC3" w:rsidRPr="009C1AC3">
        <w:rPr>
          <w:rFonts w:ascii="Times" w:hAnsi="Times"/>
          <w:b/>
          <w:bCs/>
          <w:sz w:val="32"/>
          <w:szCs w:val="32"/>
        </w:rPr>
        <w:t>i</w:t>
      </w:r>
      <w:r w:rsidRPr="009C1AC3">
        <w:rPr>
          <w:rFonts w:ascii="Times" w:hAnsi="Times"/>
          <w:b/>
          <w:bCs/>
          <w:sz w:val="32"/>
          <w:szCs w:val="32"/>
        </w:rPr>
        <w:t>ndividual</w:t>
      </w:r>
      <w:r w:rsidR="00E47B1B">
        <w:rPr>
          <w:rFonts w:ascii="Times" w:hAnsi="Times"/>
          <w:b/>
          <w:bCs/>
          <w:color w:val="0070C0"/>
          <w:sz w:val="32"/>
          <w:szCs w:val="32"/>
        </w:rPr>
        <w:t>”</w:t>
      </w:r>
      <w:r w:rsidRPr="009C1AC3">
        <w:rPr>
          <w:rFonts w:ascii="Times" w:hAnsi="Times"/>
          <w:b/>
          <w:bCs/>
          <w:sz w:val="32"/>
          <w:szCs w:val="32"/>
        </w:rPr>
        <w:t xml:space="preserve"> </w:t>
      </w:r>
      <w:r w:rsidR="00574942" w:rsidRPr="009C1AC3">
        <w:rPr>
          <w:rFonts w:ascii="Times" w:hAnsi="Times"/>
          <w:b/>
          <w:bCs/>
          <w:sz w:val="32"/>
          <w:szCs w:val="32"/>
        </w:rPr>
        <w:t xml:space="preserve">for the purpose of holding an aquaculture license </w:t>
      </w:r>
      <w:r w:rsidRPr="009C1AC3">
        <w:rPr>
          <w:rFonts w:ascii="Times" w:hAnsi="Times"/>
          <w:b/>
          <w:bCs/>
          <w:sz w:val="32"/>
          <w:szCs w:val="32"/>
        </w:rPr>
        <w:t xml:space="preserve">including </w:t>
      </w:r>
      <w:r w:rsidR="009C1AC3" w:rsidRPr="009C1AC3">
        <w:rPr>
          <w:rFonts w:ascii="Times" w:hAnsi="Times"/>
          <w:b/>
          <w:bCs/>
          <w:sz w:val="32"/>
          <w:szCs w:val="32"/>
        </w:rPr>
        <w:t>C</w:t>
      </w:r>
      <w:r w:rsidR="00A62F47" w:rsidRPr="009C1AC3">
        <w:rPr>
          <w:rFonts w:ascii="Times" w:hAnsi="Times"/>
          <w:b/>
          <w:bCs/>
          <w:sz w:val="32"/>
          <w:szCs w:val="32"/>
        </w:rPr>
        <w:t>orporation</w:t>
      </w:r>
      <w:r w:rsidRPr="009C1AC3">
        <w:rPr>
          <w:rFonts w:ascii="Times" w:hAnsi="Times"/>
          <w:b/>
          <w:bCs/>
          <w:sz w:val="32"/>
          <w:szCs w:val="32"/>
        </w:rPr>
        <w:t>s</w:t>
      </w:r>
      <w:r w:rsidR="00A62F47" w:rsidRPr="009C1AC3">
        <w:rPr>
          <w:rFonts w:ascii="Times" w:hAnsi="Times"/>
          <w:b/>
          <w:bCs/>
          <w:sz w:val="32"/>
          <w:szCs w:val="32"/>
        </w:rPr>
        <w:t xml:space="preserve">, Limited </w:t>
      </w:r>
      <w:r w:rsidRPr="009C1AC3">
        <w:rPr>
          <w:rFonts w:ascii="Times" w:hAnsi="Times"/>
          <w:b/>
          <w:bCs/>
          <w:sz w:val="32"/>
          <w:szCs w:val="32"/>
        </w:rPr>
        <w:t>Liability Compan</w:t>
      </w:r>
      <w:r w:rsidR="00574942" w:rsidRPr="009C1AC3">
        <w:rPr>
          <w:rFonts w:ascii="Times" w:hAnsi="Times"/>
          <w:b/>
          <w:bCs/>
          <w:sz w:val="32"/>
          <w:szCs w:val="32"/>
        </w:rPr>
        <w:t>ies (LLCs)</w:t>
      </w:r>
      <w:r w:rsidRPr="009C1AC3">
        <w:rPr>
          <w:rFonts w:ascii="Times" w:hAnsi="Times"/>
          <w:b/>
          <w:bCs/>
          <w:sz w:val="32"/>
          <w:szCs w:val="32"/>
        </w:rPr>
        <w:t>, Doing Business As</w:t>
      </w:r>
      <w:r w:rsidR="00574942" w:rsidRPr="009C1AC3">
        <w:rPr>
          <w:rFonts w:ascii="Times" w:hAnsi="Times"/>
          <w:b/>
          <w:bCs/>
          <w:sz w:val="32"/>
          <w:szCs w:val="32"/>
        </w:rPr>
        <w:t xml:space="preserve"> </w:t>
      </w:r>
      <w:proofErr w:type="gramStart"/>
      <w:r w:rsidR="00574942" w:rsidRPr="009C1AC3">
        <w:rPr>
          <w:rFonts w:ascii="Times" w:hAnsi="Times"/>
          <w:b/>
          <w:bCs/>
          <w:sz w:val="32"/>
          <w:szCs w:val="32"/>
        </w:rPr>
        <w:t>( DBAs</w:t>
      </w:r>
      <w:proofErr w:type="gramEnd"/>
      <w:r w:rsidR="00574942" w:rsidRPr="009C1AC3">
        <w:rPr>
          <w:rFonts w:ascii="Times" w:hAnsi="Times"/>
          <w:b/>
          <w:bCs/>
          <w:sz w:val="32"/>
          <w:szCs w:val="32"/>
        </w:rPr>
        <w:t>)</w:t>
      </w:r>
      <w:r w:rsidRPr="009C1AC3">
        <w:rPr>
          <w:rFonts w:ascii="Times" w:hAnsi="Times"/>
          <w:b/>
          <w:bCs/>
          <w:sz w:val="32"/>
          <w:szCs w:val="32"/>
        </w:rPr>
        <w:t>,</w:t>
      </w:r>
      <w:r w:rsidR="00574942" w:rsidRPr="009C1AC3">
        <w:rPr>
          <w:rFonts w:ascii="Times" w:hAnsi="Times"/>
          <w:b/>
          <w:bCs/>
          <w:sz w:val="32"/>
          <w:szCs w:val="32"/>
        </w:rPr>
        <w:t xml:space="preserve"> </w:t>
      </w:r>
      <w:r w:rsidR="00A62F47" w:rsidRPr="009C1AC3">
        <w:rPr>
          <w:rFonts w:ascii="Times" w:hAnsi="Times"/>
          <w:b/>
          <w:bCs/>
          <w:sz w:val="32"/>
          <w:szCs w:val="32"/>
        </w:rPr>
        <w:t>Trust</w:t>
      </w:r>
      <w:r w:rsidRPr="009C1AC3">
        <w:rPr>
          <w:rFonts w:ascii="Times" w:hAnsi="Times"/>
          <w:b/>
          <w:bCs/>
          <w:sz w:val="32"/>
          <w:szCs w:val="32"/>
        </w:rPr>
        <w:t>s</w:t>
      </w:r>
      <w:r w:rsidR="00A62F47" w:rsidRPr="009C1AC3">
        <w:rPr>
          <w:rFonts w:ascii="Times" w:hAnsi="Times"/>
          <w:b/>
          <w:bCs/>
          <w:sz w:val="32"/>
          <w:szCs w:val="32"/>
        </w:rPr>
        <w:t>, or other such entit</w:t>
      </w:r>
      <w:r w:rsidR="00574942" w:rsidRPr="009C1AC3">
        <w:rPr>
          <w:rFonts w:ascii="Times" w:hAnsi="Times"/>
          <w:b/>
          <w:bCs/>
          <w:sz w:val="32"/>
          <w:szCs w:val="32"/>
        </w:rPr>
        <w:t>ies, are limited to seven (7) acres</w:t>
      </w:r>
      <w:r w:rsidR="009C1AC3" w:rsidRPr="009C1AC3">
        <w:rPr>
          <w:rFonts w:ascii="Times" w:hAnsi="Times"/>
          <w:b/>
          <w:bCs/>
          <w:sz w:val="32"/>
          <w:szCs w:val="32"/>
        </w:rPr>
        <w:t>.</w:t>
      </w:r>
    </w:p>
    <w:sectPr w:rsidR="006F2B3A" w:rsidRPr="009C1A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7E630" w14:textId="77777777" w:rsidR="001A1AF0" w:rsidRDefault="001A1AF0" w:rsidP="00CC1071">
      <w:r>
        <w:separator/>
      </w:r>
    </w:p>
  </w:endnote>
  <w:endnote w:type="continuationSeparator" w:id="0">
    <w:p w14:paraId="7B9015C9" w14:textId="77777777" w:rsidR="001A1AF0" w:rsidRDefault="001A1AF0" w:rsidP="00CC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Time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E706" w14:textId="77777777" w:rsidR="00CC1071" w:rsidRDefault="00CC1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8D50" w14:textId="77777777" w:rsidR="00CC1071" w:rsidRDefault="00CC1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0B30" w14:textId="77777777" w:rsidR="00CC1071" w:rsidRDefault="00CC1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9324" w14:textId="77777777" w:rsidR="001A1AF0" w:rsidRDefault="001A1AF0" w:rsidP="00CC1071">
      <w:r>
        <w:separator/>
      </w:r>
    </w:p>
  </w:footnote>
  <w:footnote w:type="continuationSeparator" w:id="0">
    <w:p w14:paraId="330B7FAE" w14:textId="77777777" w:rsidR="001A1AF0" w:rsidRDefault="001A1AF0" w:rsidP="00CC1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E0DC" w14:textId="77777777" w:rsidR="00CC1071" w:rsidRDefault="00CC1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982D" w14:textId="77777777" w:rsidR="00CC1071" w:rsidRDefault="00CC1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B1D9" w14:textId="77777777" w:rsidR="00CC1071" w:rsidRDefault="00CC10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3A"/>
    <w:rsid w:val="000169FA"/>
    <w:rsid w:val="00054C38"/>
    <w:rsid w:val="000D6E8E"/>
    <w:rsid w:val="001A1AF0"/>
    <w:rsid w:val="00367BC4"/>
    <w:rsid w:val="00574942"/>
    <w:rsid w:val="00660452"/>
    <w:rsid w:val="006F2B3A"/>
    <w:rsid w:val="007B72A9"/>
    <w:rsid w:val="00882897"/>
    <w:rsid w:val="008E4E6B"/>
    <w:rsid w:val="00993474"/>
    <w:rsid w:val="009C1AC3"/>
    <w:rsid w:val="009D61B7"/>
    <w:rsid w:val="00A62F47"/>
    <w:rsid w:val="00BE59C5"/>
    <w:rsid w:val="00CC1071"/>
    <w:rsid w:val="00E47B1B"/>
    <w:rsid w:val="00F8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0E5837"/>
  <w15:docId w15:val="{42D8C34C-476E-BA43-8DE7-B980C892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B3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C1071"/>
    <w:pPr>
      <w:tabs>
        <w:tab w:val="center" w:pos="4680"/>
        <w:tab w:val="right" w:pos="9360"/>
      </w:tabs>
    </w:pPr>
  </w:style>
  <w:style w:type="character" w:customStyle="1" w:styleId="HeaderChar">
    <w:name w:val="Header Char"/>
    <w:basedOn w:val="DefaultParagraphFont"/>
    <w:link w:val="Header"/>
    <w:uiPriority w:val="99"/>
    <w:rsid w:val="00CC1071"/>
  </w:style>
  <w:style w:type="paragraph" w:styleId="Footer">
    <w:name w:val="footer"/>
    <w:basedOn w:val="Normal"/>
    <w:link w:val="FooterChar"/>
    <w:uiPriority w:val="99"/>
    <w:unhideWhenUsed/>
    <w:rsid w:val="00CC1071"/>
    <w:pPr>
      <w:tabs>
        <w:tab w:val="center" w:pos="4680"/>
        <w:tab w:val="right" w:pos="9360"/>
      </w:tabs>
    </w:pPr>
  </w:style>
  <w:style w:type="character" w:customStyle="1" w:styleId="FooterChar">
    <w:name w:val="Footer Char"/>
    <w:basedOn w:val="DefaultParagraphFont"/>
    <w:link w:val="Footer"/>
    <w:uiPriority w:val="99"/>
    <w:rsid w:val="00CC1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825126">
      <w:bodyDiv w:val="1"/>
      <w:marLeft w:val="0"/>
      <w:marRight w:val="0"/>
      <w:marTop w:val="0"/>
      <w:marBottom w:val="0"/>
      <w:divBdr>
        <w:top w:val="none" w:sz="0" w:space="0" w:color="auto"/>
        <w:left w:val="none" w:sz="0" w:space="0" w:color="auto"/>
        <w:bottom w:val="none" w:sz="0" w:space="0" w:color="auto"/>
        <w:right w:val="none" w:sz="0" w:space="0" w:color="auto"/>
      </w:divBdr>
      <w:divsChild>
        <w:div w:id="1811361890">
          <w:marLeft w:val="0"/>
          <w:marRight w:val="0"/>
          <w:marTop w:val="0"/>
          <w:marBottom w:val="0"/>
          <w:divBdr>
            <w:top w:val="none" w:sz="0" w:space="0" w:color="auto"/>
            <w:left w:val="none" w:sz="0" w:space="0" w:color="auto"/>
            <w:bottom w:val="none" w:sz="0" w:space="0" w:color="auto"/>
            <w:right w:val="none" w:sz="0" w:space="0" w:color="auto"/>
          </w:divBdr>
          <w:divsChild>
            <w:div w:id="1665359331">
              <w:marLeft w:val="0"/>
              <w:marRight w:val="0"/>
              <w:marTop w:val="0"/>
              <w:marBottom w:val="0"/>
              <w:divBdr>
                <w:top w:val="none" w:sz="0" w:space="0" w:color="auto"/>
                <w:left w:val="none" w:sz="0" w:space="0" w:color="auto"/>
                <w:bottom w:val="none" w:sz="0" w:space="0" w:color="auto"/>
                <w:right w:val="none" w:sz="0" w:space="0" w:color="auto"/>
              </w:divBdr>
              <w:divsChild>
                <w:div w:id="16857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13503">
      <w:bodyDiv w:val="1"/>
      <w:marLeft w:val="0"/>
      <w:marRight w:val="0"/>
      <w:marTop w:val="0"/>
      <w:marBottom w:val="0"/>
      <w:divBdr>
        <w:top w:val="none" w:sz="0" w:space="0" w:color="auto"/>
        <w:left w:val="none" w:sz="0" w:space="0" w:color="auto"/>
        <w:bottom w:val="none" w:sz="0" w:space="0" w:color="auto"/>
        <w:right w:val="none" w:sz="0" w:space="0" w:color="auto"/>
      </w:divBdr>
      <w:divsChild>
        <w:div w:id="2122918554">
          <w:marLeft w:val="0"/>
          <w:marRight w:val="0"/>
          <w:marTop w:val="0"/>
          <w:marBottom w:val="0"/>
          <w:divBdr>
            <w:top w:val="none" w:sz="0" w:space="0" w:color="auto"/>
            <w:left w:val="none" w:sz="0" w:space="0" w:color="auto"/>
            <w:bottom w:val="none" w:sz="0" w:space="0" w:color="auto"/>
            <w:right w:val="none" w:sz="0" w:space="0" w:color="auto"/>
          </w:divBdr>
          <w:divsChild>
            <w:div w:id="1237323056">
              <w:marLeft w:val="0"/>
              <w:marRight w:val="0"/>
              <w:marTop w:val="0"/>
              <w:marBottom w:val="0"/>
              <w:divBdr>
                <w:top w:val="none" w:sz="0" w:space="0" w:color="auto"/>
                <w:left w:val="none" w:sz="0" w:space="0" w:color="auto"/>
                <w:bottom w:val="none" w:sz="0" w:space="0" w:color="auto"/>
                <w:right w:val="none" w:sz="0" w:space="0" w:color="auto"/>
              </w:divBdr>
              <w:divsChild>
                <w:div w:id="9251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41405">
      <w:bodyDiv w:val="1"/>
      <w:marLeft w:val="0"/>
      <w:marRight w:val="0"/>
      <w:marTop w:val="0"/>
      <w:marBottom w:val="0"/>
      <w:divBdr>
        <w:top w:val="none" w:sz="0" w:space="0" w:color="auto"/>
        <w:left w:val="none" w:sz="0" w:space="0" w:color="auto"/>
        <w:bottom w:val="none" w:sz="0" w:space="0" w:color="auto"/>
        <w:right w:val="none" w:sz="0" w:space="0" w:color="auto"/>
      </w:divBdr>
      <w:divsChild>
        <w:div w:id="1847860045">
          <w:marLeft w:val="0"/>
          <w:marRight w:val="0"/>
          <w:marTop w:val="0"/>
          <w:marBottom w:val="0"/>
          <w:divBdr>
            <w:top w:val="none" w:sz="0" w:space="0" w:color="auto"/>
            <w:left w:val="none" w:sz="0" w:space="0" w:color="auto"/>
            <w:bottom w:val="none" w:sz="0" w:space="0" w:color="auto"/>
            <w:right w:val="none" w:sz="0" w:space="0" w:color="auto"/>
          </w:divBdr>
          <w:divsChild>
            <w:div w:id="221795794">
              <w:marLeft w:val="0"/>
              <w:marRight w:val="0"/>
              <w:marTop w:val="0"/>
              <w:marBottom w:val="0"/>
              <w:divBdr>
                <w:top w:val="none" w:sz="0" w:space="0" w:color="auto"/>
                <w:left w:val="none" w:sz="0" w:space="0" w:color="auto"/>
                <w:bottom w:val="none" w:sz="0" w:space="0" w:color="auto"/>
                <w:right w:val="none" w:sz="0" w:space="0" w:color="auto"/>
              </w:divBdr>
              <w:divsChild>
                <w:div w:id="4240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Miranda Wilson</dc:creator>
  <cp:keywords/>
  <dc:description/>
  <cp:lastModifiedBy>Helen Miranda Wilson</cp:lastModifiedBy>
  <cp:revision>6</cp:revision>
  <dcterms:created xsi:type="dcterms:W3CDTF">2023-03-22T18:10:00Z</dcterms:created>
  <dcterms:modified xsi:type="dcterms:W3CDTF">2023-04-18T15:17:00Z</dcterms:modified>
</cp:coreProperties>
</file>